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22DB" w14:textId="22970443" w:rsidR="006C7F3F" w:rsidRPr="00FC619C" w:rsidRDefault="00271124">
      <w:pPr>
        <w:pStyle w:val="Title"/>
        <w:spacing w:after="120" w:line="271" w:lineRule="auto"/>
        <w:jc w:val="center"/>
      </w:pPr>
      <w:r w:rsidRPr="00FC619C">
        <w:t xml:space="preserve">Carbon Reduction Plan </w:t>
      </w:r>
    </w:p>
    <w:p w14:paraId="55200D57" w14:textId="7E62F298" w:rsidR="006C7F3F" w:rsidRPr="00FC619C" w:rsidRDefault="00271124">
      <w:pPr>
        <w:pStyle w:val="Standard"/>
        <w:spacing w:after="120" w:line="271" w:lineRule="auto"/>
        <w:jc w:val="both"/>
      </w:pPr>
      <w:r w:rsidRPr="00FC619C">
        <w:rPr>
          <w:sz w:val="28"/>
          <w:szCs w:val="28"/>
        </w:rPr>
        <w:t>Supplier name:</w:t>
      </w:r>
      <w:r w:rsidRPr="00FC619C">
        <w:t xml:space="preserve"> </w:t>
      </w:r>
      <w:r w:rsidR="00C82884" w:rsidRPr="00FC619C">
        <w:t>Selcom Systems Limited</w:t>
      </w:r>
    </w:p>
    <w:p w14:paraId="49AC9E05" w14:textId="161F42AC" w:rsidR="006C7F3F" w:rsidRPr="00FC619C" w:rsidRDefault="00271124">
      <w:pPr>
        <w:pStyle w:val="Standard"/>
        <w:spacing w:after="120" w:line="271" w:lineRule="auto"/>
        <w:jc w:val="both"/>
      </w:pPr>
      <w:r w:rsidRPr="00FC619C">
        <w:rPr>
          <w:sz w:val="28"/>
          <w:szCs w:val="28"/>
        </w:rPr>
        <w:t>Publication date:</w:t>
      </w:r>
      <w:r w:rsidRPr="00FC619C">
        <w:t xml:space="preserve"> </w:t>
      </w:r>
      <w:r w:rsidR="00C82884" w:rsidRPr="00FC619C">
        <w:t>11</w:t>
      </w:r>
      <w:r w:rsidR="00C82884" w:rsidRPr="00FC619C">
        <w:rPr>
          <w:vertAlign w:val="superscript"/>
        </w:rPr>
        <w:t>th</w:t>
      </w:r>
      <w:r w:rsidR="00C82884" w:rsidRPr="00FC619C">
        <w:t xml:space="preserve"> December 2025</w:t>
      </w:r>
    </w:p>
    <w:p w14:paraId="7E36F05E" w14:textId="77777777" w:rsidR="006C7F3F" w:rsidRPr="00FC619C" w:rsidRDefault="00271124">
      <w:pPr>
        <w:pStyle w:val="Heading1"/>
        <w:spacing w:before="360" w:line="271" w:lineRule="auto"/>
        <w:jc w:val="both"/>
      </w:pPr>
      <w:bookmarkStart w:id="0" w:name="_heading=h.30j0zll"/>
      <w:bookmarkEnd w:id="0"/>
      <w:r w:rsidRPr="00FC619C">
        <w:rPr>
          <w:b/>
          <w:sz w:val="28"/>
          <w:szCs w:val="28"/>
        </w:rPr>
        <w:t>Commitment to achieving Net Zero</w:t>
      </w:r>
    </w:p>
    <w:p w14:paraId="1CB03C17" w14:textId="26D6B22B" w:rsidR="006C7F3F" w:rsidRPr="00FC619C" w:rsidRDefault="00C82884">
      <w:pPr>
        <w:pStyle w:val="Heading1"/>
        <w:keepNext w:val="0"/>
        <w:keepLines w:val="0"/>
        <w:spacing w:before="0" w:line="271" w:lineRule="auto"/>
        <w:jc w:val="both"/>
      </w:pPr>
      <w:bookmarkStart w:id="1" w:name="_heading=h.1fob9te"/>
      <w:bookmarkEnd w:id="1"/>
      <w:r w:rsidRPr="00FC619C">
        <w:rPr>
          <w:sz w:val="22"/>
          <w:szCs w:val="22"/>
        </w:rPr>
        <w:t>Selcom i</w:t>
      </w:r>
      <w:r w:rsidR="00271124" w:rsidRPr="00FC619C">
        <w:rPr>
          <w:sz w:val="22"/>
          <w:szCs w:val="22"/>
        </w:rPr>
        <w:t xml:space="preserve">s committed to achieving Net Zero emissions by </w:t>
      </w:r>
      <w:r w:rsidRPr="00FC619C">
        <w:rPr>
          <w:sz w:val="22"/>
          <w:szCs w:val="22"/>
        </w:rPr>
        <w:t>20</w:t>
      </w:r>
      <w:r w:rsidR="00FC619C" w:rsidRPr="00FC619C">
        <w:rPr>
          <w:sz w:val="22"/>
          <w:szCs w:val="22"/>
        </w:rPr>
        <w:t>5</w:t>
      </w:r>
      <w:r w:rsidRPr="00FC619C">
        <w:rPr>
          <w:sz w:val="22"/>
          <w:szCs w:val="22"/>
        </w:rPr>
        <w:t>0.</w:t>
      </w:r>
    </w:p>
    <w:p w14:paraId="2FFDEE3C" w14:textId="77777777" w:rsidR="006C7F3F" w:rsidRPr="00FC619C" w:rsidRDefault="00271124">
      <w:pPr>
        <w:pStyle w:val="Heading1"/>
        <w:spacing w:before="360" w:line="271" w:lineRule="auto"/>
        <w:jc w:val="both"/>
      </w:pPr>
      <w:bookmarkStart w:id="2" w:name="_heading=h.3znysh7"/>
      <w:bookmarkEnd w:id="2"/>
      <w:r w:rsidRPr="00FC619C">
        <w:rPr>
          <w:b/>
          <w:sz w:val="28"/>
          <w:szCs w:val="28"/>
        </w:rPr>
        <w:t>Baseline Emissions Footprint</w:t>
      </w:r>
    </w:p>
    <w:p w14:paraId="78833869" w14:textId="77777777" w:rsidR="00FC619C" w:rsidRPr="008731A1" w:rsidRDefault="00FC619C" w:rsidP="00FC619C">
      <w:pPr>
        <w:spacing w:after="200" w:line="276" w:lineRule="auto"/>
      </w:pPr>
      <w:r w:rsidRPr="008731A1">
        <w:t>As this is Selcom’s first reporting period, we are establishing our baseline emissions and creating a structured carbon-management framework within our integrated Quality, Environmental &amp; Management System (QEMS).</w:t>
      </w:r>
    </w:p>
    <w:tbl>
      <w:tblPr>
        <w:tblW w:w="9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0"/>
        <w:gridCol w:w="7320"/>
      </w:tblGrid>
      <w:tr w:rsidR="006C7F3F" w:rsidRPr="00FC619C" w14:paraId="29A6B7B0" w14:textId="77777777">
        <w:trPr>
          <w:trHeight w:val="455"/>
        </w:trPr>
        <w:tc>
          <w:tcPr>
            <w:tcW w:w="9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B0EE1" w14:textId="2BD61F37" w:rsidR="006C7F3F" w:rsidRPr="00FC619C" w:rsidRDefault="00271124">
            <w:pPr>
              <w:pStyle w:val="Standard"/>
              <w:spacing w:after="120" w:line="271" w:lineRule="auto"/>
              <w:jc w:val="both"/>
            </w:pPr>
            <w:r w:rsidRPr="00FC619C">
              <w:rPr>
                <w:b/>
              </w:rPr>
              <w:t>Baseline Year:</w:t>
            </w:r>
            <w:r w:rsidR="00C82884" w:rsidRPr="00FC619C">
              <w:rPr>
                <w:b/>
              </w:rPr>
              <w:t xml:space="preserve"> 2025-2026 (Selcom has not previously recorded emissions – this will be the baseline year)</w:t>
            </w:r>
          </w:p>
        </w:tc>
      </w:tr>
      <w:tr w:rsidR="006C7F3F" w:rsidRPr="00FC619C" w14:paraId="1BF55292" w14:textId="77777777">
        <w:trPr>
          <w:trHeight w:val="455"/>
        </w:trPr>
        <w:tc>
          <w:tcPr>
            <w:tcW w:w="94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1AEA1" w14:textId="77777777" w:rsidR="006C7F3F" w:rsidRPr="00FC619C" w:rsidRDefault="00271124">
            <w:pPr>
              <w:pStyle w:val="Standard"/>
              <w:spacing w:after="120" w:line="271" w:lineRule="auto"/>
              <w:jc w:val="both"/>
            </w:pPr>
            <w:r w:rsidRPr="00FC619C">
              <w:rPr>
                <w:b/>
              </w:rPr>
              <w:t>Additional Details relating to the Baseline Emissions calculations.</w:t>
            </w:r>
          </w:p>
        </w:tc>
      </w:tr>
      <w:tr w:rsidR="006C7F3F" w:rsidRPr="00FC619C" w14:paraId="182FF9E8" w14:textId="77777777">
        <w:trPr>
          <w:trHeight w:val="455"/>
        </w:trPr>
        <w:tc>
          <w:tcPr>
            <w:tcW w:w="94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48ADC" w14:textId="5A91107E" w:rsidR="006C7F3F" w:rsidRPr="00FC619C" w:rsidRDefault="00FC619C" w:rsidP="00FC619C">
            <w:pPr>
              <w:spacing w:after="200" w:line="276" w:lineRule="auto"/>
            </w:pPr>
            <w:r w:rsidRPr="008731A1">
              <w:t>As this is Selcom’s first reporting period, we are establishing our baseline emissions and creating a structured carbon-management framework within our integrated Quality, Environmental &amp; Management System (QEMS).</w:t>
            </w:r>
          </w:p>
        </w:tc>
      </w:tr>
      <w:tr w:rsidR="006C7F3F" w:rsidRPr="00FC619C" w14:paraId="3A7CD304" w14:textId="77777777">
        <w:trPr>
          <w:trHeight w:val="455"/>
        </w:trPr>
        <w:tc>
          <w:tcPr>
            <w:tcW w:w="94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306E9" w14:textId="5863748D" w:rsidR="006C7F3F" w:rsidRPr="00FC619C" w:rsidRDefault="00271124">
            <w:pPr>
              <w:pStyle w:val="Standard"/>
              <w:spacing w:after="120" w:line="271" w:lineRule="auto"/>
              <w:jc w:val="both"/>
            </w:pPr>
            <w:r w:rsidRPr="00FC619C">
              <w:rPr>
                <w:b/>
              </w:rPr>
              <w:t>Baseline year emissions:</w:t>
            </w:r>
            <w:r w:rsidR="00FC619C" w:rsidRPr="00FC619C">
              <w:rPr>
                <w:b/>
              </w:rPr>
              <w:t xml:space="preserve"> 2025</w:t>
            </w:r>
          </w:p>
        </w:tc>
      </w:tr>
      <w:tr w:rsidR="006C7F3F" w:rsidRPr="00FC619C" w14:paraId="5B0F42DC" w14:textId="77777777">
        <w:trPr>
          <w:trHeight w:val="740"/>
        </w:trPr>
        <w:tc>
          <w:tcPr>
            <w:tcW w:w="2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80709" w14:textId="77777777" w:rsidR="006C7F3F" w:rsidRPr="00FC619C" w:rsidRDefault="00271124">
            <w:pPr>
              <w:pStyle w:val="Standard"/>
              <w:spacing w:after="120" w:line="271" w:lineRule="auto"/>
              <w:jc w:val="both"/>
            </w:pPr>
            <w:r w:rsidRPr="00FC619C">
              <w:rPr>
                <w:b/>
              </w:rPr>
              <w:t>EMISSIONS</w:t>
            </w:r>
          </w:p>
        </w:tc>
        <w:tc>
          <w:tcPr>
            <w:tcW w:w="7319" w:type="dxa"/>
            <w:tcBorders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2C227" w14:textId="77777777" w:rsidR="006C7F3F" w:rsidRPr="00FC619C" w:rsidRDefault="00271124">
            <w:pPr>
              <w:pStyle w:val="Standard"/>
              <w:spacing w:after="120" w:line="271" w:lineRule="auto"/>
              <w:jc w:val="both"/>
            </w:pPr>
            <w:r w:rsidRPr="00FC619C">
              <w:rPr>
                <w:b/>
              </w:rPr>
              <w:t>TOTAL (tCO</w:t>
            </w:r>
            <w:r w:rsidRPr="00FC619C">
              <w:rPr>
                <w:b/>
                <w:vertAlign w:val="subscript"/>
              </w:rPr>
              <w:t>2</w:t>
            </w:r>
            <w:r w:rsidRPr="00FC619C">
              <w:rPr>
                <w:b/>
              </w:rPr>
              <w:t>e)</w:t>
            </w:r>
          </w:p>
        </w:tc>
      </w:tr>
      <w:tr w:rsidR="006C7F3F" w:rsidRPr="00FC619C" w14:paraId="436C35A2" w14:textId="77777777">
        <w:trPr>
          <w:trHeight w:val="455"/>
        </w:trPr>
        <w:tc>
          <w:tcPr>
            <w:tcW w:w="2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282F7" w14:textId="77777777" w:rsidR="006C7F3F" w:rsidRPr="00FC619C" w:rsidRDefault="00271124">
            <w:pPr>
              <w:pStyle w:val="Standard"/>
              <w:spacing w:after="120" w:line="271" w:lineRule="auto"/>
              <w:jc w:val="both"/>
              <w:rPr>
                <w:b/>
              </w:rPr>
            </w:pPr>
            <w:r w:rsidRPr="00FC619C">
              <w:rPr>
                <w:b/>
              </w:rPr>
              <w:t>Scope 1</w:t>
            </w:r>
          </w:p>
          <w:p w14:paraId="7384D2F4" w14:textId="09EE5DD2" w:rsidR="00FC619C" w:rsidRPr="00FC619C" w:rsidRDefault="00FC619C">
            <w:pPr>
              <w:pStyle w:val="Standard"/>
              <w:spacing w:after="120" w:line="271" w:lineRule="auto"/>
              <w:jc w:val="both"/>
            </w:pPr>
            <w:r w:rsidRPr="00FC619C">
              <w:rPr>
                <w:b/>
                <w:sz w:val="18"/>
                <w:szCs w:val="18"/>
              </w:rPr>
              <w:t>Generator diesel</w:t>
            </w:r>
          </w:p>
        </w:tc>
        <w:tc>
          <w:tcPr>
            <w:tcW w:w="7319" w:type="dxa"/>
            <w:tcBorders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DBD19" w14:textId="29C87A69" w:rsidR="006C7F3F" w:rsidRPr="000E4836" w:rsidRDefault="00397C4D">
            <w:pPr>
              <w:pStyle w:val="Standard"/>
              <w:spacing w:after="120" w:line="271" w:lineRule="auto"/>
              <w:jc w:val="both"/>
            </w:pPr>
            <w:r>
              <w:t>0.015 tonnes</w:t>
            </w:r>
            <w:r w:rsidR="000E4836" w:rsidRPr="000E4836">
              <w:t xml:space="preserve"> </w:t>
            </w:r>
          </w:p>
        </w:tc>
      </w:tr>
      <w:tr w:rsidR="006C7F3F" w:rsidRPr="00FC619C" w14:paraId="036B83F6" w14:textId="77777777">
        <w:trPr>
          <w:trHeight w:val="455"/>
        </w:trPr>
        <w:tc>
          <w:tcPr>
            <w:tcW w:w="2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B8C20" w14:textId="77777777" w:rsidR="006C7F3F" w:rsidRPr="00FC619C" w:rsidRDefault="00271124">
            <w:pPr>
              <w:pStyle w:val="Standard"/>
              <w:spacing w:after="120" w:line="271" w:lineRule="auto"/>
              <w:jc w:val="both"/>
              <w:rPr>
                <w:b/>
              </w:rPr>
            </w:pPr>
            <w:r w:rsidRPr="00FC619C">
              <w:rPr>
                <w:b/>
              </w:rPr>
              <w:t>Scope 2</w:t>
            </w:r>
          </w:p>
          <w:p w14:paraId="2952619E" w14:textId="7266629B" w:rsidR="00FC619C" w:rsidRPr="00FC619C" w:rsidRDefault="00FC619C">
            <w:pPr>
              <w:pStyle w:val="Standard"/>
              <w:spacing w:after="120" w:line="271" w:lineRule="auto"/>
              <w:jc w:val="both"/>
              <w:rPr>
                <w:b/>
              </w:rPr>
            </w:pPr>
            <w:r w:rsidRPr="00FC619C">
              <w:rPr>
                <w:b/>
                <w:sz w:val="18"/>
                <w:szCs w:val="18"/>
              </w:rPr>
              <w:t>Electricity for offices and hosting facilities</w:t>
            </w:r>
          </w:p>
        </w:tc>
        <w:tc>
          <w:tcPr>
            <w:tcW w:w="7319" w:type="dxa"/>
            <w:tcBorders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7B51A" w14:textId="44A639D0" w:rsidR="006C7F3F" w:rsidRPr="00FC619C" w:rsidRDefault="000E4836">
            <w:pPr>
              <w:pStyle w:val="Standard"/>
              <w:spacing w:after="120" w:line="271" w:lineRule="auto"/>
              <w:jc w:val="both"/>
            </w:pPr>
            <w:r>
              <w:t>1.36 tonnes</w:t>
            </w:r>
          </w:p>
        </w:tc>
      </w:tr>
      <w:tr w:rsidR="006C7F3F" w:rsidRPr="00FC619C" w14:paraId="761EA260" w14:textId="77777777">
        <w:trPr>
          <w:trHeight w:val="585"/>
        </w:trPr>
        <w:tc>
          <w:tcPr>
            <w:tcW w:w="21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21BDB" w14:textId="77777777" w:rsidR="006C7F3F" w:rsidRPr="00FC619C" w:rsidRDefault="00271124">
            <w:pPr>
              <w:pStyle w:val="Standard"/>
              <w:spacing w:after="120" w:line="271" w:lineRule="auto"/>
              <w:jc w:val="both"/>
              <w:rPr>
                <w:b/>
              </w:rPr>
            </w:pPr>
            <w:r w:rsidRPr="00FC619C">
              <w:rPr>
                <w:b/>
              </w:rPr>
              <w:t>Scope 3</w:t>
            </w:r>
          </w:p>
          <w:p w14:paraId="21E36FD6" w14:textId="1CEF3C7F" w:rsidR="006C7F3F" w:rsidRPr="00FC619C" w:rsidRDefault="00FC619C">
            <w:pPr>
              <w:pStyle w:val="Standard"/>
              <w:spacing w:after="120" w:line="271" w:lineRule="auto"/>
              <w:jc w:val="both"/>
              <w:rPr>
                <w:b/>
              </w:rPr>
            </w:pPr>
            <w:r w:rsidRPr="00FC619C">
              <w:rPr>
                <w:b/>
                <w:sz w:val="18"/>
                <w:szCs w:val="18"/>
              </w:rPr>
              <w:t>Employee travel, data centre supply chain, waste, purchased goods</w:t>
            </w:r>
          </w:p>
        </w:tc>
        <w:tc>
          <w:tcPr>
            <w:tcW w:w="7319" w:type="dxa"/>
            <w:tcBorders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61EF7" w14:textId="539FFFD0" w:rsidR="006C7F3F" w:rsidRPr="00FC619C" w:rsidRDefault="000E4836">
            <w:pPr>
              <w:pStyle w:val="Standard"/>
              <w:spacing w:after="120" w:line="271" w:lineRule="auto"/>
              <w:jc w:val="both"/>
            </w:pPr>
            <w:r>
              <w:t>2.4 tonnes</w:t>
            </w:r>
          </w:p>
        </w:tc>
      </w:tr>
      <w:tr w:rsidR="006C7F3F" w:rsidRPr="00FC619C" w14:paraId="01DB3380" w14:textId="77777777">
        <w:trPr>
          <w:trHeight w:val="585"/>
        </w:trPr>
        <w:tc>
          <w:tcPr>
            <w:tcW w:w="213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82301" w14:textId="77777777" w:rsidR="006C7F3F" w:rsidRPr="00FC619C" w:rsidRDefault="00271124">
            <w:pPr>
              <w:pStyle w:val="Standard"/>
              <w:spacing w:after="120" w:line="271" w:lineRule="auto"/>
              <w:jc w:val="both"/>
            </w:pPr>
            <w:r w:rsidRPr="00FC619C">
              <w:rPr>
                <w:b/>
              </w:rPr>
              <w:t>Total Emissions</w:t>
            </w:r>
          </w:p>
        </w:tc>
        <w:tc>
          <w:tcPr>
            <w:tcW w:w="7319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3A705" w14:textId="331F58A5" w:rsidR="006C7F3F" w:rsidRPr="00FC619C" w:rsidRDefault="00397C4D">
            <w:pPr>
              <w:pStyle w:val="Standard"/>
              <w:spacing w:after="120" w:line="271" w:lineRule="auto"/>
              <w:jc w:val="both"/>
            </w:pPr>
            <w:r>
              <w:t>3.775 tonnes</w:t>
            </w:r>
          </w:p>
        </w:tc>
      </w:tr>
    </w:tbl>
    <w:p w14:paraId="304D2B74" w14:textId="77777777" w:rsidR="006C7F3F" w:rsidRPr="00FC619C" w:rsidRDefault="00271124">
      <w:pPr>
        <w:pStyle w:val="Standard"/>
      </w:pPr>
      <w:r w:rsidRPr="00FC619C">
        <w:rPr>
          <w:b/>
          <w:sz w:val="28"/>
          <w:szCs w:val="28"/>
        </w:rPr>
        <w:lastRenderedPageBreak/>
        <w:t>Current Emissions Reporting</w:t>
      </w:r>
    </w:p>
    <w:tbl>
      <w:tblPr>
        <w:tblW w:w="94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7365"/>
      </w:tblGrid>
      <w:tr w:rsidR="006C7F3F" w:rsidRPr="00FC619C" w14:paraId="68ED0764" w14:textId="77777777">
        <w:trPr>
          <w:trHeight w:val="122"/>
        </w:trPr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C4A7" w14:textId="77B6E773" w:rsidR="006C7F3F" w:rsidRPr="00FC619C" w:rsidRDefault="00271124">
            <w:pPr>
              <w:pStyle w:val="Standard"/>
              <w:spacing w:after="120" w:line="271" w:lineRule="auto"/>
              <w:jc w:val="both"/>
            </w:pPr>
            <w:r w:rsidRPr="00FC619C">
              <w:rPr>
                <w:b/>
              </w:rPr>
              <w:t>Reporting Year: 2</w:t>
            </w:r>
            <w:r w:rsidR="00FC619C" w:rsidRPr="00FC619C">
              <w:rPr>
                <w:b/>
              </w:rPr>
              <w:t>026</w:t>
            </w:r>
          </w:p>
        </w:tc>
      </w:tr>
      <w:tr w:rsidR="006C7F3F" w:rsidRPr="00FC619C" w14:paraId="58CF5EA7" w14:textId="77777777">
        <w:trPr>
          <w:trHeight w:val="740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18787" w14:textId="77777777" w:rsidR="006C7F3F" w:rsidRPr="00FC619C" w:rsidRDefault="00271124">
            <w:pPr>
              <w:pStyle w:val="Standard"/>
              <w:spacing w:after="120" w:line="271" w:lineRule="auto"/>
              <w:jc w:val="both"/>
            </w:pPr>
            <w:r w:rsidRPr="00FC619C">
              <w:rPr>
                <w:b/>
              </w:rPr>
              <w:t>EMISSIONS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93E14" w14:textId="77777777" w:rsidR="006C7F3F" w:rsidRPr="00FC619C" w:rsidRDefault="00271124">
            <w:pPr>
              <w:pStyle w:val="Standard"/>
              <w:spacing w:after="120" w:line="271" w:lineRule="auto"/>
              <w:jc w:val="both"/>
            </w:pPr>
            <w:r w:rsidRPr="00FC619C">
              <w:rPr>
                <w:b/>
              </w:rPr>
              <w:t>TOTAL (tCO</w:t>
            </w:r>
            <w:r w:rsidRPr="00FC619C">
              <w:rPr>
                <w:b/>
                <w:vertAlign w:val="subscript"/>
              </w:rPr>
              <w:t>2</w:t>
            </w:r>
            <w:r w:rsidRPr="00FC619C">
              <w:rPr>
                <w:b/>
              </w:rPr>
              <w:t>e)</w:t>
            </w:r>
          </w:p>
        </w:tc>
      </w:tr>
      <w:tr w:rsidR="006C7F3F" w:rsidRPr="00FC619C" w14:paraId="27FE4DEA" w14:textId="77777777">
        <w:trPr>
          <w:trHeight w:val="45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F2142" w14:textId="77777777" w:rsidR="006C7F3F" w:rsidRPr="00FC619C" w:rsidRDefault="00271124">
            <w:pPr>
              <w:pStyle w:val="Standard"/>
              <w:spacing w:after="120" w:line="271" w:lineRule="auto"/>
              <w:jc w:val="both"/>
            </w:pPr>
            <w:r w:rsidRPr="00FC619C">
              <w:rPr>
                <w:b/>
              </w:rPr>
              <w:t>Scope 1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BACBB" w14:textId="4E7E6650" w:rsidR="006C7F3F" w:rsidRPr="00FC619C" w:rsidRDefault="006C7F3F">
            <w:pPr>
              <w:pStyle w:val="Standard"/>
              <w:spacing w:after="120" w:line="271" w:lineRule="auto"/>
              <w:jc w:val="both"/>
            </w:pPr>
          </w:p>
        </w:tc>
      </w:tr>
      <w:tr w:rsidR="006C7F3F" w:rsidRPr="00FC619C" w14:paraId="5FE3C0F4" w14:textId="77777777">
        <w:trPr>
          <w:trHeight w:val="45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FC486" w14:textId="77777777" w:rsidR="006C7F3F" w:rsidRPr="00FC619C" w:rsidRDefault="00271124">
            <w:pPr>
              <w:pStyle w:val="Standard"/>
              <w:spacing w:after="120" w:line="271" w:lineRule="auto"/>
              <w:jc w:val="both"/>
            </w:pPr>
            <w:r w:rsidRPr="00FC619C">
              <w:rPr>
                <w:b/>
              </w:rPr>
              <w:t>Scope 2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34390" w14:textId="32A73F82" w:rsidR="006C7F3F" w:rsidRPr="00FC619C" w:rsidRDefault="006C7F3F">
            <w:pPr>
              <w:pStyle w:val="Standard"/>
              <w:spacing w:after="120" w:line="271" w:lineRule="auto"/>
              <w:jc w:val="both"/>
            </w:pPr>
          </w:p>
        </w:tc>
      </w:tr>
      <w:tr w:rsidR="006C7F3F" w:rsidRPr="00FC619C" w14:paraId="7ACBD7DF" w14:textId="77777777">
        <w:trPr>
          <w:trHeight w:val="58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E4215" w14:textId="77777777" w:rsidR="006C7F3F" w:rsidRPr="00FC619C" w:rsidRDefault="00271124">
            <w:pPr>
              <w:pStyle w:val="Standard"/>
              <w:spacing w:after="120" w:line="271" w:lineRule="auto"/>
              <w:jc w:val="both"/>
            </w:pPr>
            <w:r w:rsidRPr="00FC619C">
              <w:rPr>
                <w:b/>
              </w:rPr>
              <w:t>Scope 3</w:t>
            </w:r>
          </w:p>
          <w:p w14:paraId="03E9F99F" w14:textId="77777777" w:rsidR="006C7F3F" w:rsidRPr="00FC619C" w:rsidRDefault="00271124">
            <w:pPr>
              <w:pStyle w:val="Standard"/>
              <w:spacing w:after="120" w:line="271" w:lineRule="auto"/>
              <w:jc w:val="both"/>
            </w:pPr>
            <w:r w:rsidRPr="00FC619C">
              <w:rPr>
                <w:b/>
                <w:sz w:val="18"/>
                <w:szCs w:val="18"/>
              </w:rPr>
              <w:t>(Included Sources)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A0202" w14:textId="025994B0" w:rsidR="006C7F3F" w:rsidRPr="00FC619C" w:rsidRDefault="006C7F3F">
            <w:pPr>
              <w:pStyle w:val="Standard"/>
              <w:spacing w:after="120" w:line="271" w:lineRule="auto"/>
              <w:jc w:val="both"/>
            </w:pPr>
          </w:p>
        </w:tc>
      </w:tr>
      <w:tr w:rsidR="006C7F3F" w:rsidRPr="00FC619C" w14:paraId="688E4EBA" w14:textId="77777777">
        <w:trPr>
          <w:trHeight w:val="58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57B59" w14:textId="77777777" w:rsidR="006C7F3F" w:rsidRPr="00FC619C" w:rsidRDefault="00271124">
            <w:pPr>
              <w:pStyle w:val="Standard"/>
              <w:spacing w:after="120" w:line="271" w:lineRule="auto"/>
              <w:jc w:val="both"/>
            </w:pPr>
            <w:r w:rsidRPr="00FC619C">
              <w:rPr>
                <w:b/>
              </w:rPr>
              <w:t>Total Emissions</w:t>
            </w:r>
          </w:p>
        </w:tc>
        <w:tc>
          <w:tcPr>
            <w:tcW w:w="7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9F08E" w14:textId="2BD96DC3" w:rsidR="006C7F3F" w:rsidRPr="00FC619C" w:rsidRDefault="006C7F3F">
            <w:pPr>
              <w:pStyle w:val="Standard"/>
              <w:spacing w:after="120" w:line="271" w:lineRule="auto"/>
              <w:jc w:val="both"/>
            </w:pPr>
          </w:p>
        </w:tc>
      </w:tr>
    </w:tbl>
    <w:p w14:paraId="6342FC8C" w14:textId="77777777" w:rsidR="00FC619C" w:rsidRPr="00FC619C" w:rsidRDefault="00FC619C">
      <w:pPr>
        <w:pStyle w:val="Heading1"/>
        <w:keepNext w:val="0"/>
        <w:keepLines w:val="0"/>
        <w:spacing w:before="0" w:line="271" w:lineRule="auto"/>
        <w:jc w:val="both"/>
        <w:rPr>
          <w:b/>
          <w:sz w:val="28"/>
          <w:szCs w:val="28"/>
        </w:rPr>
      </w:pPr>
      <w:bookmarkStart w:id="3" w:name="_heading=h.2et92p0"/>
      <w:bookmarkEnd w:id="3"/>
    </w:p>
    <w:p w14:paraId="366F18ED" w14:textId="15687451" w:rsidR="006C7F3F" w:rsidRPr="00FC619C" w:rsidRDefault="00271124">
      <w:pPr>
        <w:pStyle w:val="Heading1"/>
        <w:keepNext w:val="0"/>
        <w:keepLines w:val="0"/>
        <w:spacing w:before="0" w:line="271" w:lineRule="auto"/>
        <w:jc w:val="both"/>
      </w:pPr>
      <w:r w:rsidRPr="00FC619C">
        <w:rPr>
          <w:b/>
          <w:sz w:val="28"/>
          <w:szCs w:val="28"/>
        </w:rPr>
        <w:t>Emissions reduction targets</w:t>
      </w:r>
    </w:p>
    <w:p w14:paraId="334A9973" w14:textId="77777777" w:rsidR="00FC619C" w:rsidRPr="008731A1" w:rsidRDefault="00FC619C" w:rsidP="00FC619C">
      <w:pPr>
        <w:spacing w:after="200" w:line="276" w:lineRule="auto"/>
      </w:pPr>
      <w:bookmarkStart w:id="4" w:name="_heading=h.tyjcwt"/>
      <w:bookmarkStart w:id="5" w:name="_heading=h.4d34og8"/>
      <w:bookmarkEnd w:id="4"/>
      <w:bookmarkEnd w:id="5"/>
      <w:r w:rsidRPr="008731A1">
        <w:t>Selcom is setting reduction targets from this newly established baseline.</w:t>
      </w:r>
    </w:p>
    <w:p w14:paraId="4FEDA36C" w14:textId="77777777" w:rsidR="00FC619C" w:rsidRPr="008731A1" w:rsidRDefault="00FC619C" w:rsidP="00FC619C">
      <w:pPr>
        <w:numPr>
          <w:ilvl w:val="0"/>
          <w:numId w:val="4"/>
        </w:numPr>
        <w:suppressAutoHyphens w:val="0"/>
        <w:autoSpaceDN/>
        <w:spacing w:after="200" w:line="276" w:lineRule="auto"/>
        <w:textAlignment w:val="auto"/>
      </w:pPr>
      <w:r w:rsidRPr="008731A1">
        <w:t>50% reduction in Scope 1 and Scope 2 emissions by 2030</w:t>
      </w:r>
    </w:p>
    <w:p w14:paraId="6AA34D7C" w14:textId="77777777" w:rsidR="00FC619C" w:rsidRPr="008731A1" w:rsidRDefault="00FC619C" w:rsidP="00FC619C">
      <w:pPr>
        <w:numPr>
          <w:ilvl w:val="0"/>
          <w:numId w:val="4"/>
        </w:numPr>
        <w:suppressAutoHyphens w:val="0"/>
        <w:autoSpaceDN/>
        <w:spacing w:after="200" w:line="276" w:lineRule="auto"/>
        <w:textAlignment w:val="auto"/>
      </w:pPr>
      <w:r w:rsidRPr="008731A1">
        <w:t>30% reduction in Scope 3 emissions by 2030</w:t>
      </w:r>
    </w:p>
    <w:p w14:paraId="15E0736E" w14:textId="77777777" w:rsidR="00FC619C" w:rsidRPr="008731A1" w:rsidRDefault="00FC619C" w:rsidP="00FC619C">
      <w:pPr>
        <w:numPr>
          <w:ilvl w:val="0"/>
          <w:numId w:val="4"/>
        </w:numPr>
        <w:suppressAutoHyphens w:val="0"/>
        <w:autoSpaceDN/>
        <w:spacing w:after="200" w:line="276" w:lineRule="auto"/>
        <w:textAlignment w:val="auto"/>
      </w:pPr>
      <w:r w:rsidRPr="008731A1">
        <w:t>Achievement of full Net Zero by 2050</w:t>
      </w:r>
    </w:p>
    <w:p w14:paraId="6708E25E" w14:textId="77777777" w:rsidR="00FC619C" w:rsidRPr="008731A1" w:rsidRDefault="00FC619C" w:rsidP="00FC619C">
      <w:pPr>
        <w:spacing w:after="200" w:line="276" w:lineRule="auto"/>
        <w:rPr>
          <w:b/>
          <w:bCs/>
        </w:rPr>
      </w:pPr>
      <w:bookmarkStart w:id="6" w:name="_heading=h.3rdcrjn"/>
      <w:bookmarkEnd w:id="6"/>
      <w:r w:rsidRPr="008731A1">
        <w:rPr>
          <w:b/>
          <w:bCs/>
        </w:rPr>
        <w:t>Carbon Reduction Measures Already In Place (as at First Reporting Period)</w:t>
      </w:r>
    </w:p>
    <w:p w14:paraId="5AE12E40" w14:textId="77777777" w:rsidR="00FC619C" w:rsidRPr="008731A1" w:rsidRDefault="00FC619C" w:rsidP="00FC619C">
      <w:pPr>
        <w:spacing w:after="200" w:line="276" w:lineRule="auto"/>
      </w:pPr>
      <w:r w:rsidRPr="008731A1">
        <w:t>Energy Efficiency &amp; Buildings</w:t>
      </w:r>
    </w:p>
    <w:p w14:paraId="0BB841FE" w14:textId="77777777" w:rsidR="00FC619C" w:rsidRPr="008731A1" w:rsidRDefault="00FC619C" w:rsidP="00FC619C">
      <w:pPr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</w:pPr>
      <w:r w:rsidRPr="008731A1">
        <w:t>Securing renewable electricity contracts for Selcom offices and hosting environments</w:t>
      </w:r>
    </w:p>
    <w:p w14:paraId="36C8609A" w14:textId="77777777" w:rsidR="00FC619C" w:rsidRPr="008731A1" w:rsidRDefault="00FC619C" w:rsidP="00FC619C">
      <w:pPr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</w:pPr>
      <w:r w:rsidRPr="008731A1">
        <w:t>LED and smart control upgrades</w:t>
      </w:r>
    </w:p>
    <w:p w14:paraId="402EB7AE" w14:textId="77777777" w:rsidR="00FC619C" w:rsidRPr="008731A1" w:rsidRDefault="00FC619C" w:rsidP="00FC619C">
      <w:pPr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</w:pPr>
      <w:r w:rsidRPr="008731A1">
        <w:t>Remote-first working to reduce office emissions</w:t>
      </w:r>
    </w:p>
    <w:p w14:paraId="5B496FD7" w14:textId="77777777" w:rsidR="00FC619C" w:rsidRPr="008731A1" w:rsidRDefault="00FC619C" w:rsidP="00FC619C">
      <w:pPr>
        <w:spacing w:after="200" w:line="276" w:lineRule="auto"/>
      </w:pPr>
      <w:r w:rsidRPr="008731A1">
        <w:t>Data Centres &amp; IT Hosting</w:t>
      </w:r>
    </w:p>
    <w:p w14:paraId="2B547EF2" w14:textId="77777777" w:rsidR="00FC619C" w:rsidRPr="008731A1" w:rsidRDefault="00FC619C" w:rsidP="00FC619C">
      <w:pPr>
        <w:numPr>
          <w:ilvl w:val="0"/>
          <w:numId w:val="6"/>
        </w:numPr>
        <w:suppressAutoHyphens w:val="0"/>
        <w:autoSpaceDN/>
        <w:spacing w:after="200" w:line="276" w:lineRule="auto"/>
        <w:textAlignment w:val="auto"/>
      </w:pPr>
      <w:r w:rsidRPr="008731A1">
        <w:t>Migration to higher-efficiency hosting facilities</w:t>
      </w:r>
    </w:p>
    <w:p w14:paraId="6396DCB5" w14:textId="77777777" w:rsidR="00FC619C" w:rsidRPr="008731A1" w:rsidRDefault="00FC619C" w:rsidP="00FC619C">
      <w:pPr>
        <w:numPr>
          <w:ilvl w:val="0"/>
          <w:numId w:val="6"/>
        </w:numPr>
        <w:suppressAutoHyphens w:val="0"/>
        <w:autoSpaceDN/>
        <w:spacing w:after="200" w:line="276" w:lineRule="auto"/>
        <w:textAlignment w:val="auto"/>
      </w:pPr>
      <w:r w:rsidRPr="008731A1">
        <w:t>Server virtualisation and consolidation</w:t>
      </w:r>
    </w:p>
    <w:p w14:paraId="2D9E00F1" w14:textId="77777777" w:rsidR="00FC619C" w:rsidRPr="008731A1" w:rsidRDefault="00FC619C" w:rsidP="00FC619C">
      <w:pPr>
        <w:numPr>
          <w:ilvl w:val="0"/>
          <w:numId w:val="6"/>
        </w:numPr>
        <w:suppressAutoHyphens w:val="0"/>
        <w:autoSpaceDN/>
        <w:spacing w:after="200" w:line="276" w:lineRule="auto"/>
        <w:textAlignment w:val="auto"/>
      </w:pPr>
      <w:r w:rsidRPr="008731A1">
        <w:t>Sustainable IT lifecycle management</w:t>
      </w:r>
    </w:p>
    <w:p w14:paraId="2196FAB0" w14:textId="77777777" w:rsidR="00FC619C" w:rsidRPr="008731A1" w:rsidRDefault="00FC619C" w:rsidP="00FC619C">
      <w:pPr>
        <w:spacing w:after="200" w:line="276" w:lineRule="auto"/>
      </w:pPr>
      <w:r w:rsidRPr="008731A1">
        <w:t>Transport &amp; Business Travel</w:t>
      </w:r>
    </w:p>
    <w:p w14:paraId="381C034F" w14:textId="77777777" w:rsidR="00FC619C" w:rsidRPr="008731A1" w:rsidRDefault="00FC619C" w:rsidP="00FC619C">
      <w:pPr>
        <w:numPr>
          <w:ilvl w:val="0"/>
          <w:numId w:val="7"/>
        </w:numPr>
        <w:suppressAutoHyphens w:val="0"/>
        <w:autoSpaceDN/>
        <w:spacing w:after="200" w:line="276" w:lineRule="auto"/>
        <w:textAlignment w:val="auto"/>
      </w:pPr>
      <w:r w:rsidRPr="008731A1">
        <w:t>Minimal travel policy with virtual-first meetings</w:t>
      </w:r>
    </w:p>
    <w:p w14:paraId="17EFF97A" w14:textId="77777777" w:rsidR="00FC619C" w:rsidRPr="008731A1" w:rsidRDefault="00FC619C" w:rsidP="00FC619C">
      <w:pPr>
        <w:numPr>
          <w:ilvl w:val="0"/>
          <w:numId w:val="7"/>
        </w:numPr>
        <w:suppressAutoHyphens w:val="0"/>
        <w:autoSpaceDN/>
        <w:spacing w:after="200" w:line="276" w:lineRule="auto"/>
        <w:textAlignment w:val="auto"/>
      </w:pPr>
      <w:r w:rsidRPr="008731A1">
        <w:t>Public transport and active-travel incentives</w:t>
      </w:r>
    </w:p>
    <w:p w14:paraId="6C428792" w14:textId="77777777" w:rsidR="00FC619C" w:rsidRPr="008731A1" w:rsidRDefault="00FC619C" w:rsidP="00FC619C">
      <w:pPr>
        <w:spacing w:after="200" w:line="276" w:lineRule="auto"/>
      </w:pPr>
      <w:r w:rsidRPr="008731A1">
        <w:lastRenderedPageBreak/>
        <w:t>Supply Chain &amp; Procurement</w:t>
      </w:r>
    </w:p>
    <w:p w14:paraId="4F57EC77" w14:textId="77777777" w:rsidR="00FC619C" w:rsidRPr="008731A1" w:rsidRDefault="00FC619C" w:rsidP="00FC619C">
      <w:pPr>
        <w:numPr>
          <w:ilvl w:val="0"/>
          <w:numId w:val="8"/>
        </w:numPr>
        <w:suppressAutoHyphens w:val="0"/>
        <w:autoSpaceDN/>
        <w:spacing w:after="200" w:line="276" w:lineRule="auto"/>
        <w:textAlignment w:val="auto"/>
      </w:pPr>
      <w:r w:rsidRPr="008731A1">
        <w:t>Integration of sustainability considerations into supplier selection</w:t>
      </w:r>
    </w:p>
    <w:p w14:paraId="7B1777F4" w14:textId="77777777" w:rsidR="00FC619C" w:rsidRPr="008731A1" w:rsidRDefault="00FC619C" w:rsidP="00FC619C">
      <w:pPr>
        <w:numPr>
          <w:ilvl w:val="0"/>
          <w:numId w:val="8"/>
        </w:numPr>
        <w:suppressAutoHyphens w:val="0"/>
        <w:autoSpaceDN/>
        <w:spacing w:after="200" w:line="276" w:lineRule="auto"/>
        <w:textAlignment w:val="auto"/>
      </w:pPr>
      <w:r w:rsidRPr="008731A1">
        <w:t>Early-stage collection of supplier carbon data</w:t>
      </w:r>
    </w:p>
    <w:p w14:paraId="4E61CCF7" w14:textId="77777777" w:rsidR="00FC619C" w:rsidRPr="008731A1" w:rsidRDefault="00FC619C" w:rsidP="00FC619C">
      <w:pPr>
        <w:spacing w:after="200" w:line="276" w:lineRule="auto"/>
      </w:pPr>
      <w:r w:rsidRPr="008731A1">
        <w:t>Waste &amp; Circularity</w:t>
      </w:r>
    </w:p>
    <w:p w14:paraId="19010D5A" w14:textId="77777777" w:rsidR="00FC619C" w:rsidRPr="008731A1" w:rsidRDefault="00FC619C" w:rsidP="00FC619C">
      <w:pPr>
        <w:numPr>
          <w:ilvl w:val="0"/>
          <w:numId w:val="9"/>
        </w:numPr>
        <w:suppressAutoHyphens w:val="0"/>
        <w:autoSpaceDN/>
        <w:spacing w:after="200" w:line="276" w:lineRule="auto"/>
        <w:textAlignment w:val="auto"/>
      </w:pPr>
      <w:r w:rsidRPr="008731A1">
        <w:t>Zero-to-landfill approach to electronic waste</w:t>
      </w:r>
    </w:p>
    <w:p w14:paraId="586A0591" w14:textId="77777777" w:rsidR="00FC619C" w:rsidRPr="008731A1" w:rsidRDefault="00FC619C" w:rsidP="00FC619C">
      <w:pPr>
        <w:numPr>
          <w:ilvl w:val="0"/>
          <w:numId w:val="9"/>
        </w:numPr>
        <w:suppressAutoHyphens w:val="0"/>
        <w:autoSpaceDN/>
        <w:spacing w:after="200" w:line="276" w:lineRule="auto"/>
        <w:textAlignment w:val="auto"/>
      </w:pPr>
      <w:r w:rsidRPr="008731A1">
        <w:t>Increased recycling and waste segregation</w:t>
      </w:r>
    </w:p>
    <w:p w14:paraId="76647DA4" w14:textId="77777777" w:rsidR="00FC619C" w:rsidRPr="008731A1" w:rsidRDefault="00FC619C" w:rsidP="00FC619C">
      <w:pPr>
        <w:numPr>
          <w:ilvl w:val="0"/>
          <w:numId w:val="9"/>
        </w:numPr>
        <w:suppressAutoHyphens w:val="0"/>
        <w:autoSpaceDN/>
        <w:spacing w:after="200" w:line="276" w:lineRule="auto"/>
        <w:textAlignment w:val="auto"/>
      </w:pPr>
      <w:r w:rsidRPr="008731A1">
        <w:t>Secure reuse and refurbishment of IT equipment</w:t>
      </w:r>
    </w:p>
    <w:p w14:paraId="0834E0FC" w14:textId="77777777" w:rsidR="00FC619C" w:rsidRPr="008731A1" w:rsidRDefault="00FC619C" w:rsidP="00FC619C">
      <w:pPr>
        <w:spacing w:after="200" w:line="276" w:lineRule="auto"/>
      </w:pPr>
      <w:r w:rsidRPr="008731A1">
        <w:t>Future Measures Planned for Next Reporting Periods</w:t>
      </w:r>
    </w:p>
    <w:p w14:paraId="55BDE039" w14:textId="7AAA432E" w:rsidR="006C7F3F" w:rsidRPr="00FC619C" w:rsidRDefault="00FC619C" w:rsidP="00FC619C">
      <w:pPr>
        <w:numPr>
          <w:ilvl w:val="0"/>
          <w:numId w:val="10"/>
        </w:numPr>
        <w:suppressAutoHyphens w:val="0"/>
        <w:autoSpaceDN/>
        <w:spacing w:after="200" w:line="276" w:lineRule="auto"/>
        <w:textAlignment w:val="auto"/>
      </w:pPr>
      <w:r w:rsidRPr="008731A1">
        <w:t>Full transition to renewable electricity across all hosting/data centre services</w:t>
      </w:r>
      <w:bookmarkStart w:id="7" w:name="_heading=h.1ksv4uv"/>
      <w:bookmarkStart w:id="8" w:name="_heading=h.44sinio"/>
      <w:bookmarkStart w:id="9" w:name="_heading=h.2jxsxqh"/>
      <w:bookmarkEnd w:id="7"/>
      <w:bookmarkEnd w:id="8"/>
      <w:bookmarkEnd w:id="9"/>
    </w:p>
    <w:p w14:paraId="789A97CC" w14:textId="77777777" w:rsidR="006C7F3F" w:rsidRDefault="00271124">
      <w:pPr>
        <w:pStyle w:val="Heading1"/>
        <w:spacing w:before="360" w:line="247" w:lineRule="auto"/>
      </w:pPr>
      <w:bookmarkStart w:id="10" w:name="_heading=h.z337ya"/>
      <w:bookmarkStart w:id="11" w:name="_heading=h.3j2qqm3"/>
      <w:bookmarkStart w:id="12" w:name="_heading=h.2xcytpi"/>
      <w:bookmarkStart w:id="13" w:name="_heading=h.1ci93xb"/>
      <w:bookmarkStart w:id="14" w:name="_heading=h.3whwml4"/>
      <w:bookmarkStart w:id="15" w:name="_heading=h.2bn6wsx"/>
      <w:bookmarkStart w:id="16" w:name="_heading=h.qsh70q"/>
      <w:bookmarkStart w:id="17" w:name="_heading=h.49x2ik5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b/>
          <w:sz w:val="28"/>
          <w:szCs w:val="28"/>
        </w:rPr>
        <w:t>Declaration and Sign Off</w:t>
      </w:r>
    </w:p>
    <w:p w14:paraId="5DBE69B7" w14:textId="77777777" w:rsidR="006C7F3F" w:rsidRDefault="00271124">
      <w:pPr>
        <w:pStyle w:val="Standard"/>
        <w:spacing w:after="300" w:line="247" w:lineRule="auto"/>
      </w:pPr>
      <w:r>
        <w:t>This Carbon Reduction Plan has been completed in accordance with PPN 06/21 and associated guidance and reporting standard for Carbon Reduction Plans.</w:t>
      </w:r>
    </w:p>
    <w:p w14:paraId="6CEA6E04" w14:textId="77777777" w:rsidR="006C7F3F" w:rsidRDefault="00271124">
      <w:pPr>
        <w:pStyle w:val="Standard"/>
        <w:spacing w:after="300" w:line="247" w:lineRule="auto"/>
      </w:pPr>
      <w:r>
        <w:t>Emissions have been reported and recorded in accordance with</w:t>
      </w:r>
      <w:r>
        <w:rPr>
          <w:color w:val="0B0C0C"/>
        </w:rPr>
        <w:t xml:space="preserve"> the published reporting standard for Carbon Reduction Plans and the </w:t>
      </w:r>
      <w:r>
        <w:rPr>
          <w:color w:val="000000"/>
        </w:rPr>
        <w:t>GHG Reporting Protocol corporate standard</w:t>
      </w:r>
      <w:r>
        <w:rPr>
          <w:rStyle w:val="FootnoteReference"/>
          <w:color w:val="000000"/>
        </w:rPr>
        <w:footnoteReference w:id="1"/>
      </w:r>
      <w:r>
        <w:rPr>
          <w:color w:val="000000"/>
        </w:rPr>
        <w:t xml:space="preserve"> </w:t>
      </w:r>
      <w:r>
        <w:rPr>
          <w:color w:val="0B0C0C"/>
        </w:rPr>
        <w:t>and uses the appropri</w:t>
      </w:r>
      <w:r>
        <w:rPr>
          <w:color w:val="000000"/>
        </w:rPr>
        <w:t xml:space="preserve">ate </w:t>
      </w:r>
      <w:hyperlink r:id="rId7" w:history="1">
        <w:r>
          <w:rPr>
            <w:color w:val="000000"/>
          </w:rPr>
          <w:t>Government emission conversion factors for greenhouse gas company reporting</w:t>
        </w:r>
      </w:hyperlink>
      <w:r>
        <w:rPr>
          <w:rStyle w:val="FootnoteReference"/>
          <w:color w:val="000000"/>
        </w:rPr>
        <w:footnoteReference w:id="2"/>
      </w:r>
      <w:r>
        <w:rPr>
          <w:color w:val="000000"/>
        </w:rPr>
        <w:t>.</w:t>
      </w:r>
    </w:p>
    <w:p w14:paraId="788B75CD" w14:textId="77777777" w:rsidR="006C7F3F" w:rsidRDefault="00271124">
      <w:pPr>
        <w:pStyle w:val="Standard"/>
        <w:spacing w:after="300" w:line="247" w:lineRule="auto"/>
      </w:pPr>
      <w:r>
        <w:rPr>
          <w:color w:val="0B0C0C"/>
        </w:rPr>
        <w:t xml:space="preserve">Scope 1 and Scope 2 emissions have been reported in accordance with SECR requirements, and the required subset of Scope 3 emissions have been reported in accordance with the published reporting standard for Carbon Reduction Plans and the </w:t>
      </w:r>
      <w:r>
        <w:rPr>
          <w:color w:val="000000"/>
        </w:rPr>
        <w:t>Corporate Value Chain (Scope 3) Standard</w:t>
      </w:r>
      <w:r>
        <w:rPr>
          <w:rStyle w:val="FootnoteReference"/>
          <w:color w:val="000000"/>
        </w:rPr>
        <w:footnoteReference w:id="3"/>
      </w:r>
      <w:r>
        <w:rPr>
          <w:color w:val="000000"/>
        </w:rPr>
        <w:t>.</w:t>
      </w:r>
    </w:p>
    <w:p w14:paraId="19333E79" w14:textId="77777777" w:rsidR="006C7F3F" w:rsidRPr="00FC619C" w:rsidRDefault="00271124">
      <w:pPr>
        <w:pStyle w:val="Standard"/>
        <w:spacing w:after="300" w:line="247" w:lineRule="auto"/>
      </w:pPr>
      <w:r>
        <w:rPr>
          <w:color w:val="0B0C0C"/>
        </w:rPr>
        <w:t xml:space="preserve">This Carbon Reduction Plan has been reviewed and signed off </w:t>
      </w:r>
      <w:r>
        <w:t xml:space="preserve">by the board of directors (or </w:t>
      </w:r>
      <w:r w:rsidRPr="00FC619C">
        <w:t>equivalent management body).</w:t>
      </w:r>
    </w:p>
    <w:p w14:paraId="5DF06B51" w14:textId="77777777" w:rsidR="006C7F3F" w:rsidRPr="00FC619C" w:rsidRDefault="00271124">
      <w:pPr>
        <w:pStyle w:val="Heading4"/>
        <w:spacing w:after="300" w:line="247" w:lineRule="auto"/>
        <w:rPr>
          <w:color w:val="auto"/>
        </w:rPr>
      </w:pPr>
      <w:bookmarkStart w:id="18" w:name="_heading=h.2p2csry"/>
      <w:bookmarkEnd w:id="18"/>
      <w:r w:rsidRPr="00FC619C">
        <w:rPr>
          <w:color w:val="auto"/>
        </w:rPr>
        <w:t>Signed on behalf of the Supplier:</w:t>
      </w:r>
    </w:p>
    <w:p w14:paraId="6B51E794" w14:textId="77777777" w:rsidR="006C7F3F" w:rsidRDefault="006C7F3F">
      <w:pPr>
        <w:pStyle w:val="Standard"/>
        <w:spacing w:after="300" w:line="247" w:lineRule="auto"/>
        <w:rPr>
          <w:color w:val="0B0C0C"/>
        </w:rPr>
      </w:pPr>
    </w:p>
    <w:p w14:paraId="402DFAD9" w14:textId="77777777" w:rsidR="006C7F3F" w:rsidRDefault="00271124">
      <w:pPr>
        <w:pStyle w:val="Standard"/>
        <w:spacing w:after="300" w:line="247" w:lineRule="auto"/>
      </w:pPr>
      <w:r>
        <w:rPr>
          <w:color w:val="0B0C0C"/>
        </w:rPr>
        <w:t>………………………………………………………………….</w:t>
      </w:r>
    </w:p>
    <w:p w14:paraId="3EFD27D4" w14:textId="77777777" w:rsidR="006C7F3F" w:rsidRDefault="00271124">
      <w:pPr>
        <w:pStyle w:val="Standard"/>
        <w:spacing w:after="300" w:line="247" w:lineRule="auto"/>
      </w:pPr>
      <w:r>
        <w:rPr>
          <w:color w:val="0B0C0C"/>
        </w:rPr>
        <w:t>Date: ……………………….……….</w:t>
      </w:r>
    </w:p>
    <w:p w14:paraId="10EDD76B" w14:textId="77777777" w:rsidR="006C7F3F" w:rsidRDefault="006C7F3F">
      <w:pPr>
        <w:pStyle w:val="Standard"/>
        <w:rPr>
          <w:shd w:val="clear" w:color="auto" w:fill="FFFF00"/>
        </w:rPr>
      </w:pPr>
      <w:bookmarkStart w:id="19" w:name="_heading=h.147n2zr"/>
      <w:bookmarkEnd w:id="19"/>
    </w:p>
    <w:p w14:paraId="0F6DF0D3" w14:textId="77777777" w:rsidR="006C7F3F" w:rsidRDefault="006C7F3F">
      <w:pPr>
        <w:pStyle w:val="Standard"/>
      </w:pPr>
    </w:p>
    <w:sectPr w:rsidR="006C7F3F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32BD" w14:textId="77777777" w:rsidR="00271124" w:rsidRDefault="00271124">
      <w:r>
        <w:separator/>
      </w:r>
    </w:p>
  </w:endnote>
  <w:endnote w:type="continuationSeparator" w:id="0">
    <w:p w14:paraId="05879761" w14:textId="77777777" w:rsidR="00271124" w:rsidRDefault="0027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47453" w14:textId="77777777" w:rsidR="00271124" w:rsidRDefault="00271124">
      <w:r>
        <w:rPr>
          <w:color w:val="000000"/>
        </w:rPr>
        <w:separator/>
      </w:r>
    </w:p>
  </w:footnote>
  <w:footnote w:type="continuationSeparator" w:id="0">
    <w:p w14:paraId="53768E9A" w14:textId="77777777" w:rsidR="00271124" w:rsidRDefault="00271124">
      <w:r>
        <w:continuationSeparator/>
      </w:r>
    </w:p>
  </w:footnote>
  <w:footnote w:id="1">
    <w:p w14:paraId="6EC7C57F" w14:textId="77777777" w:rsidR="00271124" w:rsidRDefault="00271124"/>
  </w:footnote>
  <w:footnote w:id="2">
    <w:p w14:paraId="00F08C75" w14:textId="1F6433E0" w:rsidR="006C7F3F" w:rsidRDefault="006C7F3F">
      <w:pPr>
        <w:pStyle w:val="Standard"/>
        <w:spacing w:line="240" w:lineRule="auto"/>
      </w:pPr>
    </w:p>
    <w:p w14:paraId="27490699" w14:textId="77777777" w:rsidR="00271124" w:rsidRDefault="00271124"/>
  </w:footnote>
  <w:footnote w:id="3">
    <w:p w14:paraId="378EE7DC" w14:textId="78B38691" w:rsidR="006C7F3F" w:rsidRDefault="006C7F3F">
      <w:pPr>
        <w:pStyle w:val="Standard"/>
        <w:spacing w:line="240" w:lineRule="auto"/>
      </w:pPr>
    </w:p>
    <w:p w14:paraId="0061C4D2" w14:textId="77777777" w:rsidR="00271124" w:rsidRDefault="002711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0FF6"/>
    <w:multiLevelType w:val="multilevel"/>
    <w:tmpl w:val="26AE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2474A"/>
    <w:multiLevelType w:val="multilevel"/>
    <w:tmpl w:val="5648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D05D1"/>
    <w:multiLevelType w:val="multilevel"/>
    <w:tmpl w:val="B30EA4A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539678E2"/>
    <w:multiLevelType w:val="multilevel"/>
    <w:tmpl w:val="A778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00785"/>
    <w:multiLevelType w:val="multilevel"/>
    <w:tmpl w:val="6DD4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B02136"/>
    <w:multiLevelType w:val="multilevel"/>
    <w:tmpl w:val="8928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EE5B7A"/>
    <w:multiLevelType w:val="multilevel"/>
    <w:tmpl w:val="4CBC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695630"/>
    <w:multiLevelType w:val="multilevel"/>
    <w:tmpl w:val="4FD890EE"/>
    <w:styleLink w:val="WWNum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2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F2B0418"/>
    <w:multiLevelType w:val="multilevel"/>
    <w:tmpl w:val="7BCC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638096">
    <w:abstractNumId w:val="2"/>
  </w:num>
  <w:num w:numId="2" w16cid:durableId="1107459865">
    <w:abstractNumId w:val="7"/>
  </w:num>
  <w:num w:numId="3" w16cid:durableId="1270698559">
    <w:abstractNumId w:val="7"/>
  </w:num>
  <w:num w:numId="4" w16cid:durableId="1456754747">
    <w:abstractNumId w:val="0"/>
  </w:num>
  <w:num w:numId="5" w16cid:durableId="357851134">
    <w:abstractNumId w:val="5"/>
  </w:num>
  <w:num w:numId="6" w16cid:durableId="262417285">
    <w:abstractNumId w:val="8"/>
  </w:num>
  <w:num w:numId="7" w16cid:durableId="725376435">
    <w:abstractNumId w:val="3"/>
  </w:num>
  <w:num w:numId="8" w16cid:durableId="1588077679">
    <w:abstractNumId w:val="4"/>
  </w:num>
  <w:num w:numId="9" w16cid:durableId="955911896">
    <w:abstractNumId w:val="6"/>
  </w:num>
  <w:num w:numId="10" w16cid:durableId="689836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F3F"/>
    <w:rsid w:val="000E4836"/>
    <w:rsid w:val="00271124"/>
    <w:rsid w:val="00397C4D"/>
    <w:rsid w:val="004E5059"/>
    <w:rsid w:val="006C7F3F"/>
    <w:rsid w:val="0098213A"/>
    <w:rsid w:val="009A2EA1"/>
    <w:rsid w:val="00A3203B"/>
    <w:rsid w:val="00C82884"/>
    <w:rsid w:val="00D17F6C"/>
    <w:rsid w:val="00FC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E046"/>
  <w15:docId w15:val="{A1CFC25C-AE29-416B-B0CC-95837DA2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Standard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Standard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Standard"/>
    <w:uiPriority w:val="9"/>
    <w:unhideWhenUsed/>
    <w:qFormat/>
    <w:pPr>
      <w:keepNext/>
      <w:keepLines/>
      <w:spacing w:after="120" w:line="271" w:lineRule="auto"/>
      <w:jc w:val="both"/>
      <w:outlineLvl w:val="3"/>
    </w:pPr>
    <w:rPr>
      <w:b/>
      <w:color w:val="00488C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BalloonText">
    <w:name w:val="Balloon Text"/>
    <w:basedOn w:val="Normal"/>
    <w:rPr>
      <w:rFonts w:ascii="Times New Roman" w:eastAsia="Times New Roman" w:hAnsi="Times New Roman" w:cs="Times New Roman"/>
      <w:sz w:val="18"/>
      <w:szCs w:val="18"/>
    </w:rPr>
  </w:style>
  <w:style w:type="paragraph" w:customStyle="1" w:styleId="Footnote">
    <w:name w:val="Footnote"/>
    <w:basedOn w:val="Normal"/>
    <w:rPr>
      <w:sz w:val="20"/>
      <w:szCs w:val="20"/>
    </w:rPr>
  </w:style>
  <w:style w:type="paragraph" w:styleId="NormalWeb">
    <w:name w:val="Normal (Web)"/>
    <w:basedOn w:val="Normal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ramecontents">
    <w:name w:val="Frame contents"/>
    <w:basedOn w:val="Standard"/>
  </w:style>
  <w:style w:type="paragraph" w:styleId="Header">
    <w:name w:val="header"/>
    <w:basedOn w:val="Standard"/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imes New Roman" w:eastAsia="Times New Roman" w:hAnsi="Times New Roman" w:cs="Times New Roman"/>
      <w:sz w:val="18"/>
      <w:szCs w:val="18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FootnoteTextChar">
    <w:name w:val="Footnote Text Char"/>
    <w:basedOn w:val="DefaultParagraphFont"/>
    <w:rPr>
      <w:sz w:val="20"/>
      <w:szCs w:val="20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ListLabel1">
    <w:name w:val="ListLabel 1"/>
    <w:rPr>
      <w:rFonts w:ascii="Arial" w:eastAsia="Noto Sans Symbols" w:hAnsi="Arial" w:cs="Noto Sans Symbols"/>
      <w:b w:val="0"/>
      <w:sz w:val="22"/>
      <w:szCs w:val="20"/>
    </w:rPr>
  </w:style>
  <w:style w:type="character" w:customStyle="1" w:styleId="ListLabel2">
    <w:name w:val="ListLabel 2"/>
    <w:rPr>
      <w:rFonts w:eastAsia="Courier New" w:cs="Courier New"/>
      <w:sz w:val="20"/>
      <w:szCs w:val="20"/>
    </w:rPr>
  </w:style>
  <w:style w:type="character" w:customStyle="1" w:styleId="ListLabel3">
    <w:name w:val="ListLabel 3"/>
    <w:rPr>
      <w:rFonts w:eastAsia="Noto Sans Symbols" w:cs="Noto Sans Symbols"/>
      <w:sz w:val="20"/>
      <w:szCs w:val="20"/>
    </w:rPr>
  </w:style>
  <w:style w:type="character" w:customStyle="1" w:styleId="ListLabel4">
    <w:name w:val="ListLabel 4"/>
    <w:rPr>
      <w:rFonts w:eastAsia="Noto Sans Symbols" w:cs="Noto Sans Symbols"/>
      <w:sz w:val="20"/>
      <w:szCs w:val="20"/>
    </w:rPr>
  </w:style>
  <w:style w:type="character" w:customStyle="1" w:styleId="ListLabel5">
    <w:name w:val="ListLabel 5"/>
    <w:rPr>
      <w:rFonts w:eastAsia="Noto Sans Symbols" w:cs="Noto Sans Symbols"/>
      <w:sz w:val="20"/>
      <w:szCs w:val="20"/>
    </w:rPr>
  </w:style>
  <w:style w:type="character" w:customStyle="1" w:styleId="ListLabel6">
    <w:name w:val="ListLabel 6"/>
    <w:rPr>
      <w:rFonts w:eastAsia="Noto Sans Symbols" w:cs="Noto Sans Symbols"/>
      <w:sz w:val="20"/>
      <w:szCs w:val="20"/>
    </w:rPr>
  </w:style>
  <w:style w:type="character" w:customStyle="1" w:styleId="ListLabel7">
    <w:name w:val="ListLabel 7"/>
    <w:rPr>
      <w:rFonts w:eastAsia="Noto Sans Symbols" w:cs="Noto Sans Symbols"/>
      <w:sz w:val="20"/>
      <w:szCs w:val="20"/>
    </w:rPr>
  </w:style>
  <w:style w:type="character" w:customStyle="1" w:styleId="ListLabel8">
    <w:name w:val="ListLabel 8"/>
    <w:rPr>
      <w:rFonts w:eastAsia="Noto Sans Symbols" w:cs="Noto Sans Symbols"/>
      <w:sz w:val="20"/>
      <w:szCs w:val="20"/>
    </w:rPr>
  </w:style>
  <w:style w:type="character" w:customStyle="1" w:styleId="ListLabel9">
    <w:name w:val="ListLabel 9"/>
    <w:rPr>
      <w:rFonts w:eastAsia="Noto Sans Symbols" w:cs="Noto Sans Symbols"/>
      <w:sz w:val="20"/>
      <w:szCs w:val="20"/>
    </w:rPr>
  </w:style>
  <w:style w:type="character" w:customStyle="1" w:styleId="ListLabel10">
    <w:name w:val="ListLabel 10"/>
    <w:rPr>
      <w:color w:val="000000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D17F6C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17F6C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collections/government-conversion-factors-for-company-repor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Steph Sellers</cp:lastModifiedBy>
  <cp:revision>6</cp:revision>
  <dcterms:created xsi:type="dcterms:W3CDTF">2025-12-11T09:12:00Z</dcterms:created>
  <dcterms:modified xsi:type="dcterms:W3CDTF">2026-01-23T09:22:00Z</dcterms:modified>
</cp:coreProperties>
</file>